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</w:t>
      </w:r>
      <w:r w:rsidR="0032768C">
        <w:rPr>
          <w:b w:val="0"/>
          <w:szCs w:val="28"/>
        </w:rPr>
        <w:t>1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</w:t>
      </w:r>
      <w:r w:rsidR="0032768C">
        <w:rPr>
          <w:b/>
          <w:sz w:val="28"/>
          <w:szCs w:val="28"/>
        </w:rPr>
        <w:t>2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3276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3276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CC6345" w:rsidRPr="007D720C">
        <w:rPr>
          <w:b/>
          <w:sz w:val="28"/>
          <w:szCs w:val="28"/>
        </w:rPr>
        <w:t>р е ш и л :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</w:t>
      </w:r>
      <w:r w:rsidR="0032768C">
        <w:rPr>
          <w:rFonts w:ascii="Times New Roman" w:hAnsi="Times New Roman" w:cs="Times New Roman"/>
          <w:sz w:val="28"/>
          <w:szCs w:val="28"/>
        </w:rPr>
        <w:t>2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>сумме   1</w:t>
      </w:r>
      <w:r w:rsidR="0032768C">
        <w:rPr>
          <w:rFonts w:ascii="Times New Roman" w:hAnsi="Times New Roman" w:cs="Times New Roman"/>
          <w:sz w:val="28"/>
          <w:szCs w:val="28"/>
        </w:rPr>
        <w:t> 424 013,5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32768C">
        <w:rPr>
          <w:rFonts w:ascii="Times New Roman" w:hAnsi="Times New Roman" w:cs="Times New Roman"/>
          <w:sz w:val="28"/>
          <w:szCs w:val="28"/>
        </w:rPr>
        <w:t> 424 013,5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>3) размер дефицита  в сумме 0,0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 бюджета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3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3 год в сумме 1 452 239,6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4 год в сумме 1 421 898,6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3 год в сумме 1 452 239,6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емые расходы в сумме 18 768,2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4 год в сумме 1 421 898,6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ходы в сумме 39 212,2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3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32768C">
        <w:rPr>
          <w:rFonts w:ascii="Times New Roman" w:hAnsi="Times New Roman" w:cs="Times New Roman"/>
          <w:kern w:val="32"/>
          <w:sz w:val="28"/>
          <w:szCs w:val="28"/>
        </w:rPr>
        <w:t>4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390F07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66EBF">
        <w:rPr>
          <w:rFonts w:ascii="Times New Roman" w:hAnsi="Times New Roman" w:cs="Times New Roman"/>
          <w:b/>
          <w:sz w:val="28"/>
          <w:szCs w:val="28"/>
        </w:rPr>
        <w:t>2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A5519E">
        <w:rPr>
          <w:rFonts w:ascii="Times New Roman" w:hAnsi="Times New Roman" w:cs="Times New Roman"/>
          <w:sz w:val="28"/>
          <w:szCs w:val="28"/>
        </w:rPr>
        <w:t>2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</w:t>
      </w:r>
      <w:r w:rsidR="00A55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55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</w:t>
      </w:r>
      <w:r w:rsidR="00D66EBF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</w:t>
      </w:r>
      <w:r w:rsidR="00D66EBF">
        <w:rPr>
          <w:b/>
          <w:sz w:val="28"/>
          <w:szCs w:val="28"/>
        </w:rPr>
        <w:t>3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1) на 20</w:t>
      </w:r>
      <w:r w:rsidR="00AB6094" w:rsidRPr="00DA5A45">
        <w:rPr>
          <w:rFonts w:ascii="Times New Roman" w:hAnsi="Times New Roman" w:cs="Times New Roman"/>
          <w:sz w:val="28"/>
          <w:szCs w:val="28"/>
        </w:rPr>
        <w:t>2</w:t>
      </w:r>
      <w:r w:rsidR="00D66EBF">
        <w:rPr>
          <w:rFonts w:ascii="Times New Roman" w:hAnsi="Times New Roman" w:cs="Times New Roman"/>
          <w:sz w:val="28"/>
          <w:szCs w:val="28"/>
        </w:rPr>
        <w:t>2</w:t>
      </w:r>
      <w:r w:rsidRPr="00DA5A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6EBF">
        <w:rPr>
          <w:rFonts w:ascii="Times New Roman" w:hAnsi="Times New Roman" w:cs="Times New Roman"/>
          <w:sz w:val="28"/>
          <w:szCs w:val="28"/>
        </w:rPr>
        <w:t>459 776,8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</w:t>
      </w:r>
      <w:r w:rsidR="00ED036E" w:rsidRPr="00ED036E">
        <w:rPr>
          <w:rFonts w:ascii="Times New Roman" w:hAnsi="Times New Roman" w:cs="Times New Roman"/>
          <w:sz w:val="28"/>
          <w:szCs w:val="28"/>
        </w:rPr>
        <w:t xml:space="preserve">источниками формирования дорожного фонда городского округа, в сумме </w:t>
      </w:r>
      <w:r w:rsidR="006B6583">
        <w:rPr>
          <w:rFonts w:ascii="Times New Roman" w:hAnsi="Times New Roman" w:cs="Times New Roman"/>
          <w:sz w:val="28"/>
          <w:szCs w:val="28"/>
        </w:rPr>
        <w:t>445 444,6</w:t>
      </w:r>
      <w:r w:rsidRPr="00DA5A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35411B">
        <w:rPr>
          <w:rFonts w:ascii="Times New Roman" w:hAnsi="Times New Roman" w:cs="Times New Roman"/>
          <w:sz w:val="28"/>
          <w:szCs w:val="28"/>
        </w:rPr>
        <w:t>3 год в сумме 486 574,7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6B6583">
        <w:rPr>
          <w:rFonts w:ascii="Times New Roman" w:hAnsi="Times New Roman" w:cs="Times New Roman"/>
          <w:sz w:val="28"/>
          <w:szCs w:val="28"/>
        </w:rPr>
        <w:t>472 991,5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35411B">
        <w:rPr>
          <w:rFonts w:ascii="Times New Roman" w:hAnsi="Times New Roman" w:cs="Times New Roman"/>
          <w:sz w:val="28"/>
          <w:szCs w:val="28"/>
        </w:rPr>
        <w:t>4</w:t>
      </w:r>
      <w:r w:rsidR="009D6B4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5411B">
        <w:rPr>
          <w:rFonts w:ascii="Times New Roman" w:hAnsi="Times New Roman" w:cs="Times New Roman"/>
          <w:sz w:val="28"/>
          <w:szCs w:val="28"/>
        </w:rPr>
        <w:t>сумме 514 75</w:t>
      </w:r>
      <w:r w:rsidR="00E40D74">
        <w:rPr>
          <w:rFonts w:ascii="Times New Roman" w:hAnsi="Times New Roman" w:cs="Times New Roman"/>
          <w:sz w:val="28"/>
          <w:szCs w:val="28"/>
        </w:rPr>
        <w:t>8</w:t>
      </w:r>
      <w:r w:rsidR="0035411B">
        <w:rPr>
          <w:rFonts w:ascii="Times New Roman" w:hAnsi="Times New Roman" w:cs="Times New Roman"/>
          <w:sz w:val="28"/>
          <w:szCs w:val="28"/>
        </w:rPr>
        <w:t>,8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6B6583">
        <w:rPr>
          <w:rFonts w:ascii="Times New Roman" w:hAnsi="Times New Roman" w:cs="Times New Roman"/>
          <w:sz w:val="28"/>
          <w:szCs w:val="28"/>
        </w:rPr>
        <w:t>501</w:t>
      </w:r>
      <w:r w:rsidR="00ED036E">
        <w:rPr>
          <w:rFonts w:ascii="Times New Roman" w:hAnsi="Times New Roman" w:cs="Times New Roman"/>
          <w:sz w:val="28"/>
          <w:szCs w:val="28"/>
        </w:rPr>
        <w:t> 918,1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AA736B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AA736B">
        <w:rPr>
          <w:b/>
          <w:sz w:val="28"/>
          <w:szCs w:val="28"/>
        </w:rPr>
        <w:t xml:space="preserve">Статья </w:t>
      </w:r>
      <w:r w:rsidR="00883F91">
        <w:rPr>
          <w:b/>
          <w:sz w:val="28"/>
          <w:szCs w:val="28"/>
        </w:rPr>
        <w:t>4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1) на 20</w:t>
      </w:r>
      <w:r w:rsidR="00AB6094" w:rsidRPr="00AA736B">
        <w:rPr>
          <w:rFonts w:ascii="Times New Roman" w:hAnsi="Times New Roman" w:cs="Times New Roman"/>
          <w:sz w:val="28"/>
          <w:szCs w:val="28"/>
        </w:rPr>
        <w:t>2</w:t>
      </w:r>
      <w:r w:rsidR="00883F91">
        <w:rPr>
          <w:rFonts w:ascii="Times New Roman" w:hAnsi="Times New Roman" w:cs="Times New Roman"/>
          <w:sz w:val="28"/>
          <w:szCs w:val="28"/>
        </w:rPr>
        <w:t>2</w:t>
      </w:r>
      <w:r w:rsidR="001224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3F91">
        <w:rPr>
          <w:rFonts w:ascii="Times New Roman" w:hAnsi="Times New Roman" w:cs="Times New Roman"/>
          <w:sz w:val="28"/>
          <w:szCs w:val="28"/>
        </w:rPr>
        <w:t>964 236,7</w:t>
      </w:r>
      <w:r w:rsidRPr="00AA736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883F91">
        <w:rPr>
          <w:rFonts w:ascii="Times New Roman" w:hAnsi="Times New Roman" w:cs="Times New Roman"/>
          <w:sz w:val="28"/>
          <w:szCs w:val="28"/>
        </w:rPr>
        <w:t>648 057,4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AA736B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 w:cs="Times New Roman"/>
          <w:sz w:val="28"/>
          <w:szCs w:val="28"/>
        </w:rPr>
        <w:t>2) на 202</w:t>
      </w:r>
      <w:r w:rsidR="00883F91">
        <w:rPr>
          <w:rFonts w:ascii="Times New Roman" w:hAnsi="Times New Roman" w:cs="Times New Roman"/>
          <w:sz w:val="28"/>
          <w:szCs w:val="28"/>
        </w:rPr>
        <w:t>3</w:t>
      </w:r>
      <w:r w:rsidRPr="00AA73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3F91">
        <w:rPr>
          <w:rFonts w:ascii="Times New Roman" w:hAnsi="Times New Roman" w:cs="Times New Roman"/>
          <w:sz w:val="28"/>
          <w:szCs w:val="28"/>
        </w:rPr>
        <w:t>965 664,9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</w:t>
      </w:r>
      <w:r w:rsidRPr="00033D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51607">
        <w:rPr>
          <w:rFonts w:ascii="Times New Roman" w:hAnsi="Times New Roman" w:cs="Times New Roman"/>
          <w:sz w:val="28"/>
          <w:szCs w:val="28"/>
        </w:rPr>
        <w:t>646 100,8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6B">
        <w:rPr>
          <w:rFonts w:ascii="Times New Roman" w:hAnsi="Times New Roman"/>
          <w:sz w:val="28"/>
          <w:szCs w:val="28"/>
        </w:rPr>
        <w:t>3) на 20</w:t>
      </w:r>
      <w:r w:rsidR="00AB6094" w:rsidRPr="00AA736B">
        <w:rPr>
          <w:rFonts w:ascii="Times New Roman" w:hAnsi="Times New Roman"/>
          <w:sz w:val="28"/>
          <w:szCs w:val="28"/>
        </w:rPr>
        <w:t>2</w:t>
      </w:r>
      <w:r w:rsidR="00883F91">
        <w:rPr>
          <w:rFonts w:ascii="Times New Roman" w:hAnsi="Times New Roman"/>
          <w:sz w:val="28"/>
          <w:szCs w:val="28"/>
        </w:rPr>
        <w:t>4</w:t>
      </w:r>
      <w:r w:rsidRPr="00AA736B">
        <w:rPr>
          <w:rFonts w:ascii="Times New Roman" w:hAnsi="Times New Roman"/>
          <w:sz w:val="28"/>
          <w:szCs w:val="28"/>
        </w:rPr>
        <w:t xml:space="preserve"> год в сумме </w:t>
      </w:r>
      <w:r w:rsidR="00883F91">
        <w:rPr>
          <w:rFonts w:ascii="Times New Roman" w:hAnsi="Times New Roman"/>
          <w:sz w:val="28"/>
          <w:szCs w:val="28"/>
        </w:rPr>
        <w:t>907 132,8</w:t>
      </w:r>
      <w:r w:rsidRPr="00AA736B">
        <w:rPr>
          <w:rFonts w:ascii="Times New Roman" w:hAnsi="Times New Roman"/>
          <w:sz w:val="28"/>
          <w:szCs w:val="28"/>
        </w:rPr>
        <w:t xml:space="preserve"> тыс. рублей,</w:t>
      </w:r>
      <w:r w:rsidRPr="00AA736B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251607">
        <w:rPr>
          <w:rFonts w:ascii="Times New Roman" w:hAnsi="Times New Roman" w:cs="Times New Roman"/>
          <w:sz w:val="28"/>
          <w:szCs w:val="28"/>
        </w:rPr>
        <w:t xml:space="preserve"> 617 042,3</w:t>
      </w:r>
      <w:r w:rsidRPr="00AA73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39E1" w:rsidRPr="001250EB" w:rsidRDefault="004E2549" w:rsidP="004E2549">
      <w:pPr>
        <w:tabs>
          <w:tab w:val="left" w:pos="1305"/>
        </w:tabs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="00D6074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B45FCE">
        <w:rPr>
          <w:sz w:val="28"/>
          <w:szCs w:val="28"/>
        </w:rPr>
        <w:t>50</w:t>
      </w:r>
      <w:r w:rsidRPr="007D720C">
        <w:rPr>
          <w:sz w:val="28"/>
          <w:szCs w:val="28"/>
        </w:rPr>
        <w:t xml:space="preserve"> процентов.</w:t>
      </w:r>
    </w:p>
    <w:p w:rsidR="00CC6345" w:rsidRPr="007D720C" w:rsidRDefault="00CC6345" w:rsidP="0096356E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 xml:space="preserve">от </w:t>
      </w:r>
      <w:r w:rsidR="0096356E" w:rsidRPr="0096356E">
        <w:rPr>
          <w:sz w:val="28"/>
          <w:szCs w:val="28"/>
        </w:rPr>
        <w:t xml:space="preserve">11.06.2021 № 47 «Об утвержденииположения о порядке, размерах и сроках перечисления муниципальнымиунитарными предприятиями городского округа город Кулебаки Нижегородскойобласти в бюджет городского округа город Кулебаки Нижегородской областичасти прибыли от использования имущества, находящегося в хозяйственномведении таких предприятий, </w:t>
      </w:r>
      <w:r w:rsidR="0096356E" w:rsidRPr="0096356E">
        <w:rPr>
          <w:sz w:val="28"/>
          <w:szCs w:val="28"/>
        </w:rPr>
        <w:lastRenderedPageBreak/>
        <w:t>остающейся в их распоряжении после уплатыналогов и иных обязательных платежей»</w:t>
      </w:r>
      <w:r w:rsidR="0096356E">
        <w:rPr>
          <w:sz w:val="28"/>
          <w:szCs w:val="28"/>
        </w:rPr>
        <w:t>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6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C0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4C0550">
        <w:rPr>
          <w:rFonts w:ascii="Times New Roman" w:hAnsi="Times New Roman" w:cs="Times New Roman"/>
          <w:sz w:val="28"/>
          <w:szCs w:val="28"/>
        </w:rPr>
        <w:t>4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4C0550"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4C0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0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4C0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0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</w:t>
      </w:r>
      <w:r w:rsidR="004C0550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4C0550">
        <w:rPr>
          <w:rFonts w:ascii="Times New Roman" w:hAnsi="Times New Roman" w:cs="Times New Roman"/>
          <w:sz w:val="28"/>
          <w:szCs w:val="28"/>
        </w:rPr>
        <w:t>2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C0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0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2A3C">
        <w:rPr>
          <w:rFonts w:ascii="Times New Roman" w:hAnsi="Times New Roman" w:cs="Times New Roman"/>
          <w:sz w:val="28"/>
          <w:szCs w:val="28"/>
        </w:rPr>
        <w:t>5</w:t>
      </w:r>
      <w:r w:rsidRPr="007D720C">
        <w:rPr>
          <w:rFonts w:ascii="Times New Roman" w:hAnsi="Times New Roman" w:cs="Times New Roman"/>
          <w:sz w:val="28"/>
          <w:szCs w:val="28"/>
        </w:rPr>
        <w:t>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7E166C">
        <w:rPr>
          <w:rFonts w:ascii="Times New Roman" w:hAnsi="Times New Roman" w:cs="Times New Roman"/>
          <w:kern w:val="32"/>
          <w:sz w:val="28"/>
          <w:szCs w:val="28"/>
        </w:rPr>
        <w:t>9 022,8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7E166C">
        <w:rPr>
          <w:rFonts w:ascii="Times New Roman" w:hAnsi="Times New Roman" w:cs="Times New Roman"/>
          <w:kern w:val="32"/>
          <w:sz w:val="28"/>
          <w:szCs w:val="28"/>
        </w:rPr>
        <w:t>9 022,8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7E166C">
        <w:rPr>
          <w:rFonts w:ascii="Times New Roman" w:hAnsi="Times New Roman" w:cs="Times New Roman"/>
          <w:kern w:val="32"/>
          <w:sz w:val="28"/>
          <w:szCs w:val="28"/>
        </w:rPr>
        <w:t>9 022,8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7C1E80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E80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7C1E80">
        <w:rPr>
          <w:rFonts w:ascii="Times New Roman" w:hAnsi="Times New Roman" w:cs="Times New Roman"/>
          <w:sz w:val="28"/>
          <w:szCs w:val="28"/>
        </w:rPr>
        <w:t>4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</w:t>
      </w:r>
      <w:r w:rsidR="007C1E80">
        <w:rPr>
          <w:rFonts w:ascii="Times New Roman" w:hAnsi="Times New Roman" w:cs="Times New Roman"/>
          <w:sz w:val="28"/>
          <w:szCs w:val="28"/>
        </w:rPr>
        <w:t>6</w:t>
      </w:r>
      <w:r w:rsidRPr="00850AA9">
        <w:rPr>
          <w:rFonts w:ascii="Times New Roman" w:hAnsi="Times New Roman" w:cs="Times New Roman"/>
          <w:sz w:val="28"/>
          <w:szCs w:val="28"/>
        </w:rPr>
        <w:t>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 w:rsidR="007C1E80"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C1E80">
        <w:rPr>
          <w:rFonts w:ascii="Times New Roman" w:hAnsi="Times New Roman" w:cs="Times New Roman"/>
          <w:kern w:val="32"/>
          <w:sz w:val="28"/>
          <w:szCs w:val="28"/>
        </w:rPr>
        <w:t xml:space="preserve">2 год в сумме 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</w:t>
      </w:r>
      <w:r w:rsidR="007C1E80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E80">
        <w:rPr>
          <w:rFonts w:ascii="Times New Roman" w:hAnsi="Times New Roman" w:cs="Times New Roman"/>
          <w:sz w:val="28"/>
          <w:szCs w:val="28"/>
        </w:rPr>
        <w:t>3</w:t>
      </w:r>
      <w:r w:rsidR="00AE1A34" w:rsidRPr="00AE1A34">
        <w:rPr>
          <w:rFonts w:ascii="Times New Roman" w:hAnsi="Times New Roman" w:cs="Times New Roman"/>
          <w:sz w:val="28"/>
          <w:szCs w:val="28"/>
        </w:rPr>
        <w:t xml:space="preserve"> 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7C1E80">
        <w:rPr>
          <w:rFonts w:ascii="Times New Roman" w:hAnsi="Times New Roman" w:cs="Times New Roman"/>
          <w:sz w:val="28"/>
          <w:szCs w:val="28"/>
        </w:rPr>
        <w:t>4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E80">
        <w:rPr>
          <w:rFonts w:ascii="Times New Roman" w:hAnsi="Times New Roman" w:cs="Times New Roman"/>
          <w:sz w:val="28"/>
          <w:szCs w:val="28"/>
        </w:rPr>
        <w:t>3</w:t>
      </w:r>
      <w:r w:rsidR="00AE1A34" w:rsidRPr="00AE1A34">
        <w:rPr>
          <w:rFonts w:ascii="Times New Roman" w:hAnsi="Times New Roman" w:cs="Times New Roman"/>
          <w:sz w:val="28"/>
          <w:szCs w:val="28"/>
        </w:rPr>
        <w:t xml:space="preserve"> 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244BD4" w:rsidRDefault="00CC6345" w:rsidP="00CC6345">
      <w:pPr>
        <w:spacing w:after="0"/>
        <w:ind w:firstLine="709"/>
        <w:jc w:val="both"/>
        <w:rPr>
          <w:b/>
          <w:sz w:val="28"/>
          <w:szCs w:val="28"/>
        </w:rPr>
      </w:pPr>
      <w:r w:rsidRPr="00244BD4">
        <w:rPr>
          <w:b/>
          <w:sz w:val="28"/>
          <w:szCs w:val="28"/>
        </w:rPr>
        <w:t xml:space="preserve">Статья </w:t>
      </w:r>
      <w:r w:rsidR="00244BD4" w:rsidRPr="00244BD4">
        <w:rPr>
          <w:b/>
          <w:sz w:val="28"/>
          <w:szCs w:val="28"/>
        </w:rPr>
        <w:t>9</w:t>
      </w:r>
    </w:p>
    <w:p w:rsidR="00CC6345" w:rsidRPr="00244BD4" w:rsidRDefault="00CC6345" w:rsidP="00E07B2B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</w:t>
      </w:r>
      <w:r w:rsidRPr="00244BD4">
        <w:rPr>
          <w:sz w:val="28"/>
          <w:szCs w:val="28"/>
        </w:rPr>
        <w:lastRenderedPageBreak/>
        <w:t>Нижегородской области осуществляется казначейское сопровождение средств, указанных в части 2 настоящей статьи (далее – целевые средства).</w:t>
      </w:r>
    </w:p>
    <w:p w:rsidR="00416F8C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244BD4">
        <w:rPr>
          <w:sz w:val="28"/>
          <w:szCs w:val="28"/>
        </w:rPr>
        <w:t>прои</w:t>
      </w:r>
      <w:r w:rsidR="00E07B2B">
        <w:rPr>
          <w:sz w:val="28"/>
          <w:szCs w:val="28"/>
        </w:rPr>
        <w:t xml:space="preserve">зводятся на казначейском счете, </w:t>
      </w:r>
      <w:r w:rsidR="00E07B2B" w:rsidRPr="00244BD4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 Управлении Федерального казначейства по Нижегородской области</w:t>
      </w:r>
      <w:r w:rsidR="00E07B2B">
        <w:rPr>
          <w:sz w:val="28"/>
          <w:szCs w:val="28"/>
        </w:rPr>
        <w:t xml:space="preserve">, </w:t>
      </w:r>
      <w:r w:rsidR="00E07B2B" w:rsidRPr="00244BD4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244BD4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244BD4">
        <w:rPr>
          <w:sz w:val="28"/>
          <w:szCs w:val="28"/>
        </w:rPr>
        <w:t>.</w:t>
      </w:r>
    </w:p>
    <w:p w:rsidR="00957DD6" w:rsidRPr="00244BD4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244BD4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244BD4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244BD4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244BD4">
        <w:rPr>
          <w:sz w:val="28"/>
          <w:szCs w:val="28"/>
        </w:rPr>
        <w:t xml:space="preserve">муниципальным </w:t>
      </w:r>
      <w:r w:rsidRPr="00244BD4">
        <w:rPr>
          <w:sz w:val="28"/>
          <w:szCs w:val="28"/>
        </w:rPr>
        <w:t>бюд</w:t>
      </w:r>
      <w:r w:rsidR="00F31772" w:rsidRPr="00244BD4">
        <w:rPr>
          <w:sz w:val="28"/>
          <w:szCs w:val="28"/>
        </w:rPr>
        <w:t>жетным, автономным учреждениям</w:t>
      </w:r>
      <w:r w:rsidR="00BF1526" w:rsidRPr="00244BD4">
        <w:rPr>
          <w:sz w:val="28"/>
          <w:szCs w:val="28"/>
        </w:rPr>
        <w:t>)</w:t>
      </w:r>
      <w:r w:rsidRPr="00244BD4">
        <w:rPr>
          <w:sz w:val="28"/>
          <w:szCs w:val="28"/>
        </w:rPr>
        <w:t xml:space="preserve">в случае, если указанные средства перечисляются в соответствии </w:t>
      </w:r>
      <w:r w:rsidR="009E5342" w:rsidRPr="00AE5D53">
        <w:rPr>
          <w:sz w:val="28"/>
          <w:szCs w:val="28"/>
        </w:rPr>
        <w:t>с условиями договоров (соглашений) о предоставлении субсидий в порядке финансового обеспечения расходов</w:t>
      </w:r>
      <w:r w:rsidRPr="00244BD4">
        <w:rPr>
          <w:sz w:val="28"/>
          <w:szCs w:val="28"/>
        </w:rPr>
        <w:t>;</w:t>
      </w:r>
    </w:p>
    <w:p w:rsidR="002702A7" w:rsidRPr="00244BD4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244BD4">
        <w:rPr>
          <w:sz w:val="28"/>
          <w:szCs w:val="28"/>
        </w:rPr>
        <w:t>2</w:t>
      </w:r>
      <w:r w:rsidR="00CC6345" w:rsidRPr="00244BD4">
        <w:rPr>
          <w:sz w:val="28"/>
          <w:szCs w:val="28"/>
        </w:rPr>
        <w:t xml:space="preserve">) </w:t>
      </w:r>
      <w:r w:rsidR="001655E6" w:rsidRPr="00244BD4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услуг, заключаемым на сумму свыше 5 000,0 тыс. рублей;</w:t>
      </w:r>
    </w:p>
    <w:p w:rsidR="00E33D04" w:rsidRPr="00FD0B69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44BD4">
        <w:rPr>
          <w:sz w:val="28"/>
          <w:szCs w:val="28"/>
        </w:rPr>
        <w:t>3</w:t>
      </w:r>
      <w:r w:rsidR="001655E6" w:rsidRPr="00244BD4">
        <w:rPr>
          <w:sz w:val="28"/>
          <w:szCs w:val="28"/>
        </w:rPr>
        <w:t>) авансовые платежи по контрактам (договорам) о поставке товаров</w:t>
      </w:r>
      <w:r w:rsidR="001655E6" w:rsidRPr="00FD0B69">
        <w:rPr>
          <w:color w:val="000000" w:themeColor="text1"/>
          <w:sz w:val="28"/>
          <w:szCs w:val="28"/>
        </w:rPr>
        <w:t xml:space="preserve">, выполнении работ, оказании услуг, заключаемым на сумму свыше 5 000,0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9F0719">
        <w:rPr>
          <w:color w:val="000000" w:themeColor="text1"/>
          <w:sz w:val="28"/>
          <w:szCs w:val="28"/>
        </w:rPr>
        <w:t>и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174260">
        <w:rPr>
          <w:color w:val="000000" w:themeColor="text1"/>
          <w:sz w:val="28"/>
          <w:szCs w:val="28"/>
        </w:rPr>
        <w:t>;</w:t>
      </w:r>
    </w:p>
    <w:p w:rsidR="00CC6345" w:rsidRDefault="00C373BF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4</w:t>
      </w:r>
      <w:r w:rsidR="00074400">
        <w:rPr>
          <w:color w:val="000000" w:themeColor="text1"/>
          <w:sz w:val="28"/>
          <w:szCs w:val="28"/>
        </w:rPr>
        <w:t>)</w:t>
      </w:r>
      <w:r w:rsidR="00E33D04" w:rsidRPr="00FD0B69">
        <w:rPr>
          <w:color w:val="000000" w:themeColor="text1"/>
          <w:sz w:val="28"/>
          <w:szCs w:val="28"/>
        </w:rPr>
        <w:t>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174260">
        <w:rPr>
          <w:color w:val="000000" w:themeColor="text1"/>
          <w:sz w:val="28"/>
          <w:szCs w:val="28"/>
        </w:rPr>
        <w:t>;</w:t>
      </w:r>
    </w:p>
    <w:p w:rsidR="00174260" w:rsidRPr="00FD0B69" w:rsidRDefault="00174260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D1470F">
        <w:rPr>
          <w:color w:val="000000" w:themeColor="text1"/>
          <w:sz w:val="28"/>
          <w:szCs w:val="28"/>
        </w:rPr>
        <w:t>5) муниципальные контра</w:t>
      </w:r>
      <w:r w:rsidR="00074400" w:rsidRPr="00D1470F">
        <w:rPr>
          <w:color w:val="000000" w:themeColor="text1"/>
          <w:sz w:val="28"/>
          <w:szCs w:val="28"/>
        </w:rPr>
        <w:t xml:space="preserve">кты (договоры) на строительство, </w:t>
      </w:r>
      <w:r w:rsidR="00A053E9" w:rsidRPr="00D1470F">
        <w:rPr>
          <w:color w:val="000000" w:themeColor="text1"/>
          <w:sz w:val="28"/>
          <w:szCs w:val="28"/>
        </w:rPr>
        <w:t xml:space="preserve">реконструкцию, </w:t>
      </w:r>
      <w:bookmarkStart w:id="0" w:name="_GoBack"/>
      <w:bookmarkEnd w:id="0"/>
      <w:r w:rsidRPr="00D1470F">
        <w:rPr>
          <w:color w:val="000000" w:themeColor="text1"/>
          <w:sz w:val="28"/>
          <w:szCs w:val="28"/>
        </w:rPr>
        <w:t>объектов капитального строительства муниципальной собственности;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1) предоставляемые из бюджета городского округа юридическим лицам в порядке возмещения недополученных доходов или возмещения фактически </w:t>
      </w:r>
      <w:r w:rsidRPr="00FD0B69">
        <w:rPr>
          <w:color w:val="000000" w:themeColor="text1"/>
          <w:sz w:val="28"/>
          <w:szCs w:val="28"/>
        </w:rPr>
        <w:lastRenderedPageBreak/>
        <w:t>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1F010B" w:rsidP="001F010B">
      <w:pPr>
        <w:adjustRightInd w:val="0"/>
        <w:spacing w:after="0"/>
        <w:ind w:firstLine="54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 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о-техническогообеспечения, подключения объектов к сетям инженерно-технического обеспечения, технологического 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F4EB5" w:rsidRDefault="007E02B8" w:rsidP="00CF4EB5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б)в целях приобретения имущества для обеспечения муниципальных нужд </w:t>
      </w:r>
      <w:r w:rsidR="00CF4EB5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и нужд муниципальных учреждений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по  договорам лизинга;</w:t>
      </w:r>
    </w:p>
    <w:p w:rsidR="00B45FCE" w:rsidRPr="00FD0B69" w:rsidRDefault="007E02B8" w:rsidP="00CF4EB5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F4EB5">
        <w:rPr>
          <w:color w:val="000000" w:themeColor="text1"/>
          <w:sz w:val="28"/>
          <w:szCs w:val="28"/>
        </w:rPr>
        <w:t>в</w:t>
      </w:r>
      <w:r w:rsidR="00CC6345" w:rsidRPr="00CF4EB5">
        <w:rPr>
          <w:color w:val="000000" w:themeColor="text1"/>
          <w:sz w:val="28"/>
          <w:szCs w:val="28"/>
        </w:rPr>
        <w:t xml:space="preserve">) </w:t>
      </w:r>
      <w:r w:rsidR="00CF4EB5" w:rsidRPr="00CF4EB5">
        <w:rPr>
          <w:sz w:val="28"/>
          <w:szCs w:val="28"/>
        </w:rPr>
        <w:t>предоставляемые</w:t>
      </w:r>
      <w:r w:rsidR="00CF4EB5" w:rsidRPr="00AE5D53">
        <w:rPr>
          <w:sz w:val="28"/>
          <w:szCs w:val="28"/>
        </w:rPr>
        <w:t xml:space="preserve"> на основании </w:t>
      </w:r>
      <w:r w:rsidR="00CF4EB5">
        <w:rPr>
          <w:sz w:val="28"/>
          <w:szCs w:val="28"/>
        </w:rPr>
        <w:t>муниципальных</w:t>
      </w:r>
      <w:r w:rsidR="00CF4EB5" w:rsidRPr="00AE5D53">
        <w:rPr>
          <w:sz w:val="28"/>
          <w:szCs w:val="28"/>
        </w:rPr>
        <w:t xml:space="preserve"> контрактов (контрактов, договоров, соглашений)</w:t>
      </w:r>
      <w:r w:rsidR="00CF4EB5">
        <w:rPr>
          <w:sz w:val="28"/>
          <w:szCs w:val="28"/>
        </w:rPr>
        <w:t>, заключаемых</w:t>
      </w:r>
      <w:r w:rsidR="00CF4EB5" w:rsidRPr="00AE5D53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</w:t>
      </w:r>
      <w:r w:rsidR="00CF4EB5">
        <w:rPr>
          <w:sz w:val="28"/>
          <w:szCs w:val="28"/>
        </w:rPr>
        <w:t>лежит банковскому сопровождению или казначейскому сопровождению в Министерстве финансов Нижегородской области.</w:t>
      </w:r>
      <w:proofErr w:type="gramEnd"/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 xml:space="preserve"> предоставляемые в соответствии со стать</w:t>
      </w:r>
      <w:r w:rsidR="00651558">
        <w:rPr>
          <w:color w:val="000000" w:themeColor="text1"/>
          <w:sz w:val="28"/>
          <w:szCs w:val="28"/>
        </w:rPr>
        <w:t>ями</w:t>
      </w:r>
      <w:r w:rsidR="00ED2BB1" w:rsidRPr="00FD0B69">
        <w:rPr>
          <w:color w:val="000000" w:themeColor="text1"/>
          <w:sz w:val="28"/>
          <w:szCs w:val="28"/>
        </w:rPr>
        <w:t xml:space="preserve"> 1</w:t>
      </w:r>
      <w:r w:rsidR="008D1C96">
        <w:rPr>
          <w:color w:val="000000" w:themeColor="text1"/>
          <w:sz w:val="28"/>
          <w:szCs w:val="28"/>
        </w:rPr>
        <w:t>3</w:t>
      </w:r>
      <w:r w:rsidR="00651558">
        <w:rPr>
          <w:color w:val="000000" w:themeColor="text1"/>
          <w:sz w:val="28"/>
          <w:szCs w:val="28"/>
        </w:rPr>
        <w:t xml:space="preserve"> и 14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CE1EA2" w:rsidRPr="00CE1EA2" w:rsidRDefault="00CE1EA2" w:rsidP="00CF4EB5">
      <w:pPr>
        <w:spacing w:after="0"/>
        <w:jc w:val="both"/>
        <w:rPr>
          <w:sz w:val="28"/>
          <w:szCs w:val="28"/>
        </w:rPr>
      </w:pPr>
    </w:p>
    <w:p w:rsidR="00BE3F84" w:rsidRPr="00AE5D53" w:rsidRDefault="00834702" w:rsidP="00BE3F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E3F84" w:rsidRPr="00AE5D53">
        <w:rPr>
          <w:sz w:val="28"/>
          <w:szCs w:val="28"/>
        </w:rPr>
        <w:t xml:space="preserve">Установить, что при казначейском сопровождении субсидий юридическим лицам (за исключением субсидий </w:t>
      </w:r>
      <w:r w:rsidR="00BE3F84">
        <w:rPr>
          <w:sz w:val="28"/>
          <w:szCs w:val="28"/>
        </w:rPr>
        <w:t>муниципальным</w:t>
      </w:r>
      <w:r w:rsidR="00BE3F84" w:rsidRPr="00AE5D53">
        <w:rPr>
          <w:sz w:val="28"/>
          <w:szCs w:val="28"/>
        </w:rPr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BE3F84" w:rsidRPr="00FD0B69" w:rsidRDefault="00BE3F84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97A5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Кулебаки Нижегородской области в пределах предусмотренных настоящим Решением бюджетных 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>утверждении государственной  программы «Развитие жилищного  строительства и государственная  поддержка граждан по  обеспечению жильем на  тер</w:t>
      </w:r>
      <w:r w:rsidR="00F82FDF">
        <w:rPr>
          <w:rFonts w:ascii="Times New Roman" w:hAnsi="Times New Roman" w:cs="Times New Roman"/>
          <w:sz w:val="28"/>
          <w:szCs w:val="28"/>
        </w:rPr>
        <w:t>ритории Нижегородской области»;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82FDF" w:rsidRDefault="00F82FDF" w:rsidP="00F82FDF">
      <w:pPr>
        <w:adjustRightInd w:val="0"/>
        <w:spacing w:after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F82FDF">
        <w:rPr>
          <w:sz w:val="28"/>
          <w:szCs w:val="28"/>
        </w:rPr>
        <w:t>-</w:t>
      </w:r>
      <w:r w:rsidRPr="00F82FDF">
        <w:rPr>
          <w:rFonts w:eastAsiaTheme="minorHAnsi"/>
          <w:kern w:val="0"/>
          <w:sz w:val="28"/>
          <w:szCs w:val="28"/>
          <w:lang w:eastAsia="en-US"/>
        </w:rPr>
        <w:t>П</w:t>
      </w:r>
      <w:r>
        <w:rPr>
          <w:rFonts w:eastAsiaTheme="minorHAnsi"/>
          <w:kern w:val="0"/>
          <w:sz w:val="28"/>
          <w:szCs w:val="28"/>
          <w:lang w:eastAsia="en-US"/>
        </w:rPr>
        <w:t>остановление Правительства Нижегородской области от 15.06.2021 N 490 "О предоставлении из областного бюджета бюджетам муниципальных районов, городских и муниципальных округов Нижегородской области иных межбюджетных трансфертов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F97A55">
        <w:rPr>
          <w:b/>
          <w:sz w:val="28"/>
          <w:szCs w:val="28"/>
        </w:rPr>
        <w:t>2</w:t>
      </w:r>
    </w:p>
    <w:p w:rsidR="00B16970" w:rsidRPr="00B16970" w:rsidRDefault="00B16970" w:rsidP="00CD0B36">
      <w:pPr>
        <w:spacing w:after="0"/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4E6F58" w:rsidRPr="00310081" w:rsidRDefault="004E6F58" w:rsidP="00CD0B36">
      <w:pPr>
        <w:spacing w:after="0"/>
        <w:ind w:firstLine="284"/>
        <w:jc w:val="both"/>
        <w:rPr>
          <w:sz w:val="28"/>
          <w:szCs w:val="28"/>
        </w:rPr>
      </w:pPr>
      <w:r w:rsidRPr="00F5453E">
        <w:rPr>
          <w:sz w:val="28"/>
          <w:szCs w:val="28"/>
        </w:rPr>
        <w:t>1)на</w:t>
      </w:r>
      <w:r w:rsidRPr="00310081">
        <w:rPr>
          <w:sz w:val="28"/>
          <w:szCs w:val="28"/>
        </w:rPr>
        <w:t xml:space="preserve">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садоводческие товарищества;</w:t>
      </w:r>
    </w:p>
    <w:p w:rsidR="004E6F58" w:rsidRDefault="00A151E2" w:rsidP="00CD0B3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F58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4E6F58" w:rsidRPr="004B29C9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F58" w:rsidRPr="004B29C9">
        <w:rPr>
          <w:sz w:val="28"/>
          <w:szCs w:val="28"/>
        </w:rPr>
        <w:t>)на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4E6F58" w:rsidRPr="00FA371C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F58" w:rsidRPr="00FA371C">
        <w:rPr>
          <w:sz w:val="28"/>
          <w:szCs w:val="28"/>
        </w:rPr>
        <w:t>)на возмещение части затрат на поддержку собственного производства молока;</w:t>
      </w:r>
    </w:p>
    <w:p w:rsidR="004E6F58" w:rsidRPr="004B29C9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F58" w:rsidRPr="004B29C9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4E6F58" w:rsidRPr="00FA371C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F58" w:rsidRPr="00FA371C">
        <w:rPr>
          <w:sz w:val="28"/>
          <w:szCs w:val="28"/>
        </w:rPr>
        <w:t>)на возмещение части затрат на поддержку племенного животноводства;</w:t>
      </w:r>
    </w:p>
    <w:p w:rsidR="004E6F58" w:rsidRPr="00FA371C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6F58" w:rsidRPr="00FA371C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4E6F58" w:rsidRPr="00B16970" w:rsidRDefault="00A151E2" w:rsidP="00CD0B36">
      <w:pPr>
        <w:adjustRightInd w:val="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6F58" w:rsidRPr="0027206B">
        <w:rPr>
          <w:sz w:val="28"/>
          <w:szCs w:val="28"/>
        </w:rPr>
        <w:t xml:space="preserve">)на возмещение </w:t>
      </w:r>
      <w:r w:rsidR="0027206B" w:rsidRPr="0027206B">
        <w:rPr>
          <w:sz w:val="28"/>
          <w:szCs w:val="28"/>
        </w:rPr>
        <w:t xml:space="preserve">производителям зерновых  культур </w:t>
      </w:r>
      <w:r w:rsidR="004E6F58" w:rsidRPr="0027206B">
        <w:rPr>
          <w:sz w:val="28"/>
          <w:szCs w:val="28"/>
        </w:rPr>
        <w:t xml:space="preserve">части затрат на </w:t>
      </w:r>
      <w:r w:rsidR="0027206B" w:rsidRPr="0027206B">
        <w:rPr>
          <w:sz w:val="28"/>
          <w:szCs w:val="28"/>
        </w:rPr>
        <w:t>производство и реализацию зерновых культур;</w:t>
      </w:r>
    </w:p>
    <w:p w:rsidR="004E6F58" w:rsidRPr="00310081" w:rsidRDefault="00A151E2" w:rsidP="00CD0B3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F58">
        <w:rPr>
          <w:rFonts w:ascii="Times New Roman" w:hAnsi="Times New Roman" w:cs="Times New Roman"/>
          <w:sz w:val="28"/>
          <w:szCs w:val="28"/>
        </w:rPr>
        <w:t xml:space="preserve">) </w:t>
      </w:r>
      <w:r w:rsidR="004E6F58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4E6F58" w:rsidRDefault="004E6F58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CC6345" w:rsidP="00390F07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323C24">
        <w:rPr>
          <w:b/>
          <w:sz w:val="28"/>
          <w:szCs w:val="28"/>
        </w:rPr>
        <w:t>Статья 1</w:t>
      </w:r>
      <w:r w:rsidR="00F97A55">
        <w:rPr>
          <w:b/>
          <w:sz w:val="28"/>
          <w:szCs w:val="28"/>
        </w:rPr>
        <w:t>3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Default="00B16970" w:rsidP="00802663">
      <w:pPr>
        <w:spacing w:after="0"/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lastRenderedPageBreak/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F209F9" w:rsidRPr="00323C24" w:rsidRDefault="00F209F9" w:rsidP="00802663">
      <w:pPr>
        <w:spacing w:after="0"/>
        <w:ind w:firstLine="284"/>
        <w:jc w:val="both"/>
        <w:rPr>
          <w:sz w:val="28"/>
          <w:szCs w:val="28"/>
        </w:rPr>
      </w:pPr>
    </w:p>
    <w:p w:rsidR="00BD1F83" w:rsidRDefault="00BD1F83" w:rsidP="00802663">
      <w:pPr>
        <w:spacing w:after="0"/>
        <w:ind w:firstLine="709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>Статья 1</w:t>
      </w:r>
      <w:r w:rsidR="002B0B92">
        <w:rPr>
          <w:b/>
          <w:sz w:val="28"/>
          <w:szCs w:val="28"/>
        </w:rPr>
        <w:t>4</w:t>
      </w:r>
    </w:p>
    <w:p w:rsidR="002D2988" w:rsidRDefault="00BD1F83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DC1B95" w:rsidRPr="00F209F9" w:rsidRDefault="00DC1B95" w:rsidP="002D2988">
      <w:pPr>
        <w:spacing w:after="0"/>
        <w:ind w:firstLine="709"/>
        <w:jc w:val="both"/>
        <w:rPr>
          <w:sz w:val="28"/>
          <w:szCs w:val="28"/>
        </w:rPr>
      </w:pPr>
      <w:r w:rsidRPr="00F209F9">
        <w:rPr>
          <w:bCs/>
          <w:sz w:val="28"/>
          <w:szCs w:val="28"/>
        </w:rPr>
        <w:t xml:space="preserve">1)частным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исполнителей образовательных услуг в рамках системы </w:t>
      </w:r>
      <w:r w:rsidR="00F209F9" w:rsidRPr="00F209F9">
        <w:rPr>
          <w:sz w:val="28"/>
          <w:szCs w:val="28"/>
        </w:rPr>
        <w:t>персонифицированного финансирования</w:t>
      </w:r>
      <w:r w:rsidRPr="00F209F9">
        <w:rPr>
          <w:bCs/>
          <w:sz w:val="28"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F209F9">
        <w:rPr>
          <w:bCs/>
          <w:sz w:val="28"/>
          <w:szCs w:val="28"/>
        </w:rPr>
        <w:t>;</w:t>
      </w:r>
    </w:p>
    <w:p w:rsidR="002D2988" w:rsidRPr="002D2988" w:rsidRDefault="002D2988" w:rsidP="002D2988">
      <w:pPr>
        <w:spacing w:after="0"/>
        <w:ind w:firstLine="709"/>
        <w:jc w:val="both"/>
        <w:rPr>
          <w:bCs/>
          <w:sz w:val="28"/>
          <w:szCs w:val="28"/>
        </w:rPr>
      </w:pPr>
      <w:r w:rsidRPr="00F209F9">
        <w:rPr>
          <w:rFonts w:eastAsiaTheme="minorHAnsi"/>
          <w:bCs/>
          <w:kern w:val="0"/>
          <w:sz w:val="28"/>
          <w:szCs w:val="28"/>
          <w:lang w:eastAsia="en-US"/>
        </w:rPr>
        <w:t>2)социально ориентированнымнекоммерческим</w:t>
      </w:r>
      <w:r w:rsidRPr="002D2988">
        <w:rPr>
          <w:rFonts w:eastAsiaTheme="minorHAnsi"/>
          <w:bCs/>
          <w:kern w:val="0"/>
          <w:sz w:val="28"/>
          <w:szCs w:val="28"/>
          <w:lang w:eastAsia="en-US"/>
        </w:rPr>
        <w:t xml:space="preserve"> организациям на реализациюобщественно полезных (социальных) проектов (программ)</w:t>
      </w:r>
      <w:r w:rsidR="00390F07">
        <w:rPr>
          <w:rFonts w:eastAsiaTheme="minorHAnsi"/>
          <w:bCs/>
          <w:kern w:val="0"/>
          <w:sz w:val="28"/>
          <w:szCs w:val="28"/>
          <w:lang w:eastAsia="en-US"/>
        </w:rPr>
        <w:t>.</w:t>
      </w:r>
    </w:p>
    <w:p w:rsidR="002D2988" w:rsidRDefault="002D2988" w:rsidP="002D298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  Статья 1</w:t>
      </w:r>
      <w:r w:rsidR="002B0B92">
        <w:rPr>
          <w:b/>
          <w:sz w:val="28"/>
          <w:szCs w:val="28"/>
        </w:rPr>
        <w:t>5</w:t>
      </w:r>
    </w:p>
    <w:p w:rsidR="005800A4" w:rsidRDefault="00CC6345" w:rsidP="00AA2B8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 на 20</w:t>
      </w:r>
      <w:r w:rsidR="00AA736B" w:rsidRPr="0022278A">
        <w:rPr>
          <w:sz w:val="28"/>
          <w:szCs w:val="28"/>
        </w:rPr>
        <w:t>2</w:t>
      </w:r>
      <w:r w:rsidR="00F97A55">
        <w:rPr>
          <w:sz w:val="28"/>
          <w:szCs w:val="28"/>
        </w:rPr>
        <w:t>2</w:t>
      </w:r>
      <w:r w:rsidRPr="0022278A">
        <w:rPr>
          <w:sz w:val="28"/>
          <w:szCs w:val="28"/>
        </w:rPr>
        <w:t xml:space="preserve"> год в сумме </w:t>
      </w:r>
      <w:r w:rsidR="00F97A55">
        <w:rPr>
          <w:sz w:val="28"/>
          <w:szCs w:val="28"/>
        </w:rPr>
        <w:t>14 332</w:t>
      </w:r>
      <w:r w:rsidR="004942A4">
        <w:rPr>
          <w:sz w:val="28"/>
          <w:szCs w:val="28"/>
        </w:rPr>
        <w:t xml:space="preserve">,2 </w:t>
      </w:r>
      <w:r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Pr="0022278A">
        <w:rPr>
          <w:sz w:val="28"/>
          <w:szCs w:val="28"/>
        </w:rPr>
        <w:t>, на 202</w:t>
      </w:r>
      <w:r w:rsidR="00AA2B85">
        <w:rPr>
          <w:sz w:val="28"/>
          <w:szCs w:val="28"/>
        </w:rPr>
        <w:t>3</w:t>
      </w:r>
      <w:r w:rsidRPr="0022278A">
        <w:rPr>
          <w:sz w:val="28"/>
          <w:szCs w:val="28"/>
        </w:rPr>
        <w:t xml:space="preserve"> год в сумме </w:t>
      </w:r>
      <w:r w:rsidR="00AA2B85">
        <w:rPr>
          <w:sz w:val="28"/>
          <w:szCs w:val="28"/>
        </w:rPr>
        <w:t>13 583,2</w:t>
      </w:r>
      <w:r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Pr="0022278A">
        <w:rPr>
          <w:sz w:val="28"/>
          <w:szCs w:val="28"/>
        </w:rPr>
        <w:t>,на 202</w:t>
      </w:r>
      <w:r w:rsidR="00AA2B85">
        <w:rPr>
          <w:sz w:val="28"/>
          <w:szCs w:val="28"/>
        </w:rPr>
        <w:t>4</w:t>
      </w:r>
      <w:r w:rsidRPr="0022278A">
        <w:rPr>
          <w:sz w:val="28"/>
          <w:szCs w:val="28"/>
        </w:rPr>
        <w:t xml:space="preserve"> год в сумме  </w:t>
      </w:r>
      <w:r w:rsidR="00AA2B85">
        <w:rPr>
          <w:sz w:val="28"/>
          <w:szCs w:val="28"/>
        </w:rPr>
        <w:t xml:space="preserve">12 840,7 тыс. </w:t>
      </w:r>
      <w:r w:rsidR="005800A4">
        <w:rPr>
          <w:sz w:val="28"/>
          <w:szCs w:val="28"/>
        </w:rPr>
        <w:t xml:space="preserve">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3E72CE" w:rsidRPr="00C202D7" w:rsidRDefault="00CC6345" w:rsidP="00390F07">
      <w:pPr>
        <w:spacing w:after="0"/>
        <w:ind w:firstLine="709"/>
        <w:jc w:val="both"/>
        <w:rPr>
          <w:b/>
          <w:sz w:val="28"/>
          <w:szCs w:val="28"/>
        </w:rPr>
      </w:pPr>
      <w:r w:rsidRPr="00C202D7">
        <w:rPr>
          <w:b/>
          <w:sz w:val="28"/>
          <w:szCs w:val="28"/>
        </w:rPr>
        <w:t>Статья 1</w:t>
      </w:r>
      <w:r w:rsidR="002B0B92">
        <w:rPr>
          <w:b/>
          <w:sz w:val="28"/>
          <w:szCs w:val="28"/>
        </w:rPr>
        <w:t>6</w:t>
      </w:r>
      <w:r w:rsidR="00C7613A" w:rsidRPr="00C202D7">
        <w:rPr>
          <w:bCs/>
          <w:kern w:val="0"/>
          <w:sz w:val="28"/>
          <w:szCs w:val="28"/>
        </w:rPr>
        <w:tab/>
      </w:r>
    </w:p>
    <w:p w:rsidR="003E72CE" w:rsidRPr="00C202D7" w:rsidRDefault="003E72CE" w:rsidP="003E72CE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202D7">
        <w:rPr>
          <w:rFonts w:ascii="Times New Roman" w:hAnsi="Times New Roman" w:cs="Times New Roman"/>
          <w:sz w:val="28"/>
          <w:szCs w:val="28"/>
        </w:rPr>
        <w:t xml:space="preserve">1. </w:t>
      </w:r>
      <w:r w:rsidR="000F138A" w:rsidRPr="00C202D7">
        <w:rPr>
          <w:rFonts w:ascii="Times New Roman" w:hAnsi="Times New Roman" w:cs="Times New Roman"/>
          <w:sz w:val="28"/>
          <w:szCs w:val="28"/>
        </w:rPr>
        <w:t>Установить верхний</w:t>
      </w:r>
      <w:r w:rsidRPr="00C202D7">
        <w:rPr>
          <w:rFonts w:ascii="Times New Roman" w:hAnsi="Times New Roman" w:cs="Times New Roman"/>
          <w:sz w:val="28"/>
          <w:szCs w:val="28"/>
        </w:rPr>
        <w:t xml:space="preserve"> предел муниципального </w:t>
      </w:r>
      <w:r w:rsidR="000F138A" w:rsidRPr="00C202D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C202D7">
        <w:rPr>
          <w:rFonts w:ascii="Times New Roman" w:hAnsi="Times New Roman" w:cs="Times New Roman"/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AA2B85">
        <w:rPr>
          <w:kern w:val="0"/>
          <w:sz w:val="28"/>
          <w:szCs w:val="28"/>
          <w:lang w:eastAsia="en-US"/>
        </w:rPr>
        <w:t>3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AA2B85">
        <w:rPr>
          <w:kern w:val="0"/>
          <w:sz w:val="28"/>
          <w:szCs w:val="28"/>
          <w:lang w:eastAsia="en-US"/>
        </w:rPr>
        <w:t>3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2) на 1 января 202</w:t>
      </w:r>
      <w:r w:rsidR="00AA2B85">
        <w:rPr>
          <w:kern w:val="0"/>
          <w:sz w:val="28"/>
          <w:szCs w:val="28"/>
          <w:lang w:eastAsia="en-US"/>
        </w:rPr>
        <w:t>4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AA2B85">
        <w:rPr>
          <w:kern w:val="0"/>
          <w:sz w:val="28"/>
          <w:szCs w:val="28"/>
          <w:lang w:eastAsia="en-US"/>
        </w:rPr>
        <w:t>4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3) на 1 января 202</w:t>
      </w:r>
      <w:r w:rsidR="00AA2B85">
        <w:rPr>
          <w:kern w:val="0"/>
          <w:sz w:val="28"/>
          <w:szCs w:val="28"/>
          <w:lang w:eastAsia="en-US"/>
        </w:rPr>
        <w:t>5</w:t>
      </w:r>
      <w:r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AA2B85">
        <w:rPr>
          <w:kern w:val="0"/>
          <w:sz w:val="28"/>
          <w:szCs w:val="28"/>
          <w:lang w:eastAsia="en-US"/>
        </w:rPr>
        <w:t>5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lastRenderedPageBreak/>
        <w:t>2.</w:t>
      </w:r>
      <w:r w:rsidRPr="00AE5D53">
        <w:rPr>
          <w:sz w:val="28"/>
          <w:szCs w:val="28"/>
          <w:lang w:val="en-US"/>
        </w:rPr>
        <w:t> </w:t>
      </w:r>
      <w:r w:rsidRPr="00AE5D53">
        <w:rPr>
          <w:sz w:val="28"/>
          <w:szCs w:val="28"/>
        </w:rPr>
        <w:t xml:space="preserve">Утвердить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AE5D53">
        <w:rPr>
          <w:sz w:val="28"/>
          <w:szCs w:val="28"/>
        </w:rPr>
        <w:t xml:space="preserve"> гарантий </w:t>
      </w:r>
      <w:r w:rsidRPr="00C202D7">
        <w:rPr>
          <w:kern w:val="0"/>
          <w:sz w:val="28"/>
          <w:szCs w:val="28"/>
          <w:lang w:eastAsia="en-US"/>
        </w:rPr>
        <w:t xml:space="preserve">городского округа  город  Кулебаки </w:t>
      </w:r>
      <w:r w:rsidRPr="00C202D7">
        <w:rPr>
          <w:sz w:val="28"/>
          <w:szCs w:val="28"/>
        </w:rPr>
        <w:t>Нижегородской области</w:t>
      </w:r>
      <w:r w:rsidRPr="00AE5D53">
        <w:rPr>
          <w:sz w:val="28"/>
          <w:szCs w:val="28"/>
        </w:rPr>
        <w:t xml:space="preserve"> по возможным гарантийным случаям: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 xml:space="preserve">1) на 2022 год в сумме </w:t>
      </w:r>
      <w:r>
        <w:rPr>
          <w:sz w:val="28"/>
          <w:szCs w:val="28"/>
        </w:rPr>
        <w:t>0,0</w:t>
      </w:r>
      <w:r w:rsidRPr="00AE5D53">
        <w:rPr>
          <w:sz w:val="28"/>
          <w:szCs w:val="28"/>
        </w:rPr>
        <w:t xml:space="preserve"> тыс. рублей;</w:t>
      </w:r>
    </w:p>
    <w:p w:rsidR="00C10DF2" w:rsidRPr="00AE5D53" w:rsidRDefault="00C10DF2" w:rsidP="00C10DF2">
      <w:pPr>
        <w:spacing w:after="0"/>
        <w:ind w:firstLine="709"/>
        <w:jc w:val="both"/>
        <w:rPr>
          <w:sz w:val="28"/>
          <w:szCs w:val="28"/>
        </w:rPr>
      </w:pPr>
      <w:r w:rsidRPr="00AE5D53">
        <w:rPr>
          <w:sz w:val="28"/>
          <w:szCs w:val="28"/>
        </w:rPr>
        <w:t>2) на 2023 год в сумме 0,0 тыс. рублей;</w:t>
      </w:r>
    </w:p>
    <w:p w:rsidR="00C10DF2" w:rsidRPr="00AE5D53" w:rsidRDefault="00C10DF2" w:rsidP="00C10DF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53">
        <w:rPr>
          <w:rFonts w:ascii="Times New Roman" w:hAnsi="Times New Roman"/>
          <w:kern w:val="32"/>
          <w:sz w:val="28"/>
          <w:szCs w:val="28"/>
        </w:rPr>
        <w:t>3) на 2024 год в сумме 0,0 тыс. рублей.</w:t>
      </w:r>
    </w:p>
    <w:p w:rsidR="00C10DF2" w:rsidRPr="00C202D7" w:rsidRDefault="00C10DF2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0B9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AA2B85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2B85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AA2B85">
        <w:rPr>
          <w:rFonts w:ascii="Times New Roman" w:hAnsi="Times New Roman" w:cs="Times New Roman"/>
          <w:sz w:val="28"/>
          <w:szCs w:val="28"/>
        </w:rPr>
        <w:t>4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7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D92FF9">
        <w:rPr>
          <w:rFonts w:ascii="Times New Roman" w:hAnsi="Times New Roman" w:cs="Times New Roman"/>
          <w:sz w:val="28"/>
          <w:szCs w:val="28"/>
        </w:rPr>
        <w:t>2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2FF9">
        <w:rPr>
          <w:rFonts w:ascii="Times New Roman" w:hAnsi="Times New Roman" w:cs="Times New Roman"/>
          <w:sz w:val="28"/>
          <w:szCs w:val="28"/>
        </w:rPr>
        <w:t>3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D92FF9">
        <w:rPr>
          <w:rFonts w:ascii="Times New Roman" w:hAnsi="Times New Roman" w:cs="Times New Roman"/>
          <w:sz w:val="28"/>
          <w:szCs w:val="28"/>
        </w:rPr>
        <w:t>4</w:t>
      </w:r>
      <w:r w:rsidR="00673E92"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D92FF9">
        <w:rPr>
          <w:rFonts w:ascii="Times New Roman" w:hAnsi="Times New Roman" w:cs="Times New Roman"/>
          <w:sz w:val="28"/>
          <w:szCs w:val="28"/>
        </w:rPr>
        <w:t>8</w:t>
      </w:r>
      <w:r w:rsidR="003D40CF" w:rsidRPr="00080FEA">
        <w:rPr>
          <w:rFonts w:ascii="Times New Roman" w:hAnsi="Times New Roman" w:cs="Times New Roman"/>
          <w:sz w:val="28"/>
          <w:szCs w:val="28"/>
        </w:rPr>
        <w:t>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080FEA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4028E1">
        <w:rPr>
          <w:b/>
          <w:sz w:val="28"/>
          <w:szCs w:val="28"/>
        </w:rPr>
        <w:t>8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028E1">
        <w:rPr>
          <w:rFonts w:ascii="Times New Roman" w:hAnsi="Times New Roman" w:cs="Times New Roman"/>
          <w:b/>
          <w:sz w:val="28"/>
          <w:szCs w:val="28"/>
        </w:rPr>
        <w:t>19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2B0B92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080FEA" w:rsidRDefault="00CC6345" w:rsidP="00CC6345">
      <w:pPr>
        <w:spacing w:after="0"/>
        <w:jc w:val="right"/>
        <w:rPr>
          <w:sz w:val="28"/>
          <w:szCs w:val="28"/>
          <w:highlight w:val="yellow"/>
        </w:rPr>
      </w:pPr>
    </w:p>
    <w:p w:rsidR="002B0B92" w:rsidRPr="000E7E6D" w:rsidRDefault="002B0B92" w:rsidP="002B0B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</w:t>
      </w:r>
      <w:r w:rsidR="00E61CC7">
        <w:rPr>
          <w:sz w:val="28"/>
          <w:szCs w:val="28"/>
        </w:rPr>
        <w:t xml:space="preserve">го самоуправления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2B0B92" w:rsidRDefault="002B0B92" w:rsidP="002B0B9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</w:t>
      </w:r>
      <w:r w:rsidR="00F31C9B">
        <w:rPr>
          <w:sz w:val="28"/>
          <w:szCs w:val="28"/>
        </w:rPr>
        <w:t xml:space="preserve"> Кулебаки            </w:t>
      </w:r>
      <w:r>
        <w:rPr>
          <w:sz w:val="28"/>
          <w:szCs w:val="28"/>
        </w:rPr>
        <w:t>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2B0B92" w:rsidRPr="000E7E6D" w:rsidRDefault="002B0B92" w:rsidP="002B0B92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>В.В.Сергеев</w:t>
      </w:r>
      <w:r w:rsidR="00F31C9B">
        <w:rPr>
          <w:sz w:val="28"/>
          <w:szCs w:val="28"/>
        </w:rPr>
        <w:t xml:space="preserve">                   ________________  </w:t>
      </w:r>
      <w:r>
        <w:rPr>
          <w:sz w:val="28"/>
          <w:szCs w:val="28"/>
        </w:rPr>
        <w:t>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spacing w:after="0"/>
        <w:rPr>
          <w:sz w:val="28"/>
          <w:szCs w:val="28"/>
        </w:rPr>
      </w:pPr>
    </w:p>
    <w:sectPr w:rsidR="00CC6345" w:rsidSect="00E55C4F">
      <w:headerReference w:type="default" r:id="rId9"/>
      <w:footerReference w:type="default" r:id="rId10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57" w:rsidRDefault="005A6157" w:rsidP="00D01F78">
      <w:pPr>
        <w:spacing w:after="0"/>
      </w:pPr>
      <w:r>
        <w:separator/>
      </w:r>
    </w:p>
  </w:endnote>
  <w:endnote w:type="continuationSeparator" w:id="1">
    <w:p w:rsidR="005A6157" w:rsidRDefault="005A6157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E61C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57" w:rsidRDefault="005A6157" w:rsidP="00D01F78">
      <w:pPr>
        <w:spacing w:after="0"/>
      </w:pPr>
      <w:r>
        <w:separator/>
      </w:r>
    </w:p>
  </w:footnote>
  <w:footnote w:type="continuationSeparator" w:id="1">
    <w:p w:rsidR="005A6157" w:rsidRDefault="005A6157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19168A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1CC7">
      <w:rPr>
        <w:rStyle w:val="a7"/>
        <w:noProof/>
      </w:rPr>
      <w:t>9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A15"/>
    <w:multiLevelType w:val="hybridMultilevel"/>
    <w:tmpl w:val="093C97A4"/>
    <w:lvl w:ilvl="0" w:tplc="5ED0C11C">
      <w:start w:val="1"/>
      <w:numFmt w:val="decimal"/>
      <w:lvlText w:val="%1)"/>
      <w:lvlJc w:val="left"/>
      <w:pPr>
        <w:ind w:left="2130" w:hanging="14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3179"/>
    <w:rsid w:val="00027594"/>
    <w:rsid w:val="00033DC8"/>
    <w:rsid w:val="0003468D"/>
    <w:rsid w:val="000347B6"/>
    <w:rsid w:val="0006365E"/>
    <w:rsid w:val="000636C6"/>
    <w:rsid w:val="00074400"/>
    <w:rsid w:val="00080FEA"/>
    <w:rsid w:val="000952DD"/>
    <w:rsid w:val="00095D62"/>
    <w:rsid w:val="000A338C"/>
    <w:rsid w:val="000B13B4"/>
    <w:rsid w:val="000C11F8"/>
    <w:rsid w:val="000C7FF0"/>
    <w:rsid w:val="000E64AA"/>
    <w:rsid w:val="000F138A"/>
    <w:rsid w:val="000F39E1"/>
    <w:rsid w:val="000F55FA"/>
    <w:rsid w:val="000F6794"/>
    <w:rsid w:val="001048B7"/>
    <w:rsid w:val="001075F2"/>
    <w:rsid w:val="001224E3"/>
    <w:rsid w:val="001279C5"/>
    <w:rsid w:val="001371BF"/>
    <w:rsid w:val="001655E6"/>
    <w:rsid w:val="0017296E"/>
    <w:rsid w:val="00174260"/>
    <w:rsid w:val="0019168A"/>
    <w:rsid w:val="001A327B"/>
    <w:rsid w:val="001A7736"/>
    <w:rsid w:val="001B1E65"/>
    <w:rsid w:val="001C40A1"/>
    <w:rsid w:val="001C6283"/>
    <w:rsid w:val="001C7B4C"/>
    <w:rsid w:val="001F010B"/>
    <w:rsid w:val="00202940"/>
    <w:rsid w:val="00202A59"/>
    <w:rsid w:val="0021261C"/>
    <w:rsid w:val="0022278A"/>
    <w:rsid w:val="002319D2"/>
    <w:rsid w:val="00241394"/>
    <w:rsid w:val="002427E3"/>
    <w:rsid w:val="00244BD4"/>
    <w:rsid w:val="002511BF"/>
    <w:rsid w:val="00251607"/>
    <w:rsid w:val="00252204"/>
    <w:rsid w:val="00256B86"/>
    <w:rsid w:val="0026014D"/>
    <w:rsid w:val="002677D5"/>
    <w:rsid w:val="002702A7"/>
    <w:rsid w:val="00270410"/>
    <w:rsid w:val="0027206B"/>
    <w:rsid w:val="00283767"/>
    <w:rsid w:val="002A774D"/>
    <w:rsid w:val="002B0B92"/>
    <w:rsid w:val="002C2BBB"/>
    <w:rsid w:val="002C45AC"/>
    <w:rsid w:val="002C491E"/>
    <w:rsid w:val="002C52E6"/>
    <w:rsid w:val="002D2988"/>
    <w:rsid w:val="002D3E4E"/>
    <w:rsid w:val="002D62B9"/>
    <w:rsid w:val="002E2A3C"/>
    <w:rsid w:val="002E74E1"/>
    <w:rsid w:val="002F60F8"/>
    <w:rsid w:val="00310836"/>
    <w:rsid w:val="0032310C"/>
    <w:rsid w:val="00323ABF"/>
    <w:rsid w:val="00323C24"/>
    <w:rsid w:val="003256D6"/>
    <w:rsid w:val="0032768C"/>
    <w:rsid w:val="003444DA"/>
    <w:rsid w:val="00352C44"/>
    <w:rsid w:val="0035411B"/>
    <w:rsid w:val="003660CB"/>
    <w:rsid w:val="00372BDA"/>
    <w:rsid w:val="003841BD"/>
    <w:rsid w:val="00386ED9"/>
    <w:rsid w:val="00390F07"/>
    <w:rsid w:val="003936C4"/>
    <w:rsid w:val="003D0802"/>
    <w:rsid w:val="003D40CF"/>
    <w:rsid w:val="003E2005"/>
    <w:rsid w:val="003E72CE"/>
    <w:rsid w:val="003E7ADC"/>
    <w:rsid w:val="003F2E77"/>
    <w:rsid w:val="003F3F94"/>
    <w:rsid w:val="004028E1"/>
    <w:rsid w:val="00416F8C"/>
    <w:rsid w:val="004374D0"/>
    <w:rsid w:val="00447FB4"/>
    <w:rsid w:val="00450D5F"/>
    <w:rsid w:val="00456AED"/>
    <w:rsid w:val="00457519"/>
    <w:rsid w:val="004667DB"/>
    <w:rsid w:val="00472792"/>
    <w:rsid w:val="00491390"/>
    <w:rsid w:val="004942A4"/>
    <w:rsid w:val="0049482F"/>
    <w:rsid w:val="004A756D"/>
    <w:rsid w:val="004B29C9"/>
    <w:rsid w:val="004C0550"/>
    <w:rsid w:val="004C78D6"/>
    <w:rsid w:val="004E2549"/>
    <w:rsid w:val="004E6F58"/>
    <w:rsid w:val="004F258E"/>
    <w:rsid w:val="0050019D"/>
    <w:rsid w:val="0050226A"/>
    <w:rsid w:val="00504BE8"/>
    <w:rsid w:val="005053B7"/>
    <w:rsid w:val="00506E27"/>
    <w:rsid w:val="00513BBA"/>
    <w:rsid w:val="00521279"/>
    <w:rsid w:val="00547D67"/>
    <w:rsid w:val="00557462"/>
    <w:rsid w:val="00576C10"/>
    <w:rsid w:val="005800A4"/>
    <w:rsid w:val="00582A62"/>
    <w:rsid w:val="005A173C"/>
    <w:rsid w:val="005A611D"/>
    <w:rsid w:val="005A6157"/>
    <w:rsid w:val="005B05D8"/>
    <w:rsid w:val="005C7425"/>
    <w:rsid w:val="005D2CC0"/>
    <w:rsid w:val="005E3994"/>
    <w:rsid w:val="005E48CC"/>
    <w:rsid w:val="005F30E8"/>
    <w:rsid w:val="005F49EE"/>
    <w:rsid w:val="00605D2D"/>
    <w:rsid w:val="006125F3"/>
    <w:rsid w:val="00614F11"/>
    <w:rsid w:val="00615FDD"/>
    <w:rsid w:val="00651558"/>
    <w:rsid w:val="0065757C"/>
    <w:rsid w:val="00673E92"/>
    <w:rsid w:val="00685450"/>
    <w:rsid w:val="006A1024"/>
    <w:rsid w:val="006A26FE"/>
    <w:rsid w:val="006A6948"/>
    <w:rsid w:val="006B6583"/>
    <w:rsid w:val="006D03B7"/>
    <w:rsid w:val="006E6F88"/>
    <w:rsid w:val="007017DD"/>
    <w:rsid w:val="00716520"/>
    <w:rsid w:val="00720873"/>
    <w:rsid w:val="00726B0F"/>
    <w:rsid w:val="00735FF7"/>
    <w:rsid w:val="007403B2"/>
    <w:rsid w:val="00741B8D"/>
    <w:rsid w:val="00744ACE"/>
    <w:rsid w:val="00757DAE"/>
    <w:rsid w:val="007755C3"/>
    <w:rsid w:val="0077785A"/>
    <w:rsid w:val="00781840"/>
    <w:rsid w:val="00781E3E"/>
    <w:rsid w:val="0078508A"/>
    <w:rsid w:val="007901AD"/>
    <w:rsid w:val="007A0155"/>
    <w:rsid w:val="007A3065"/>
    <w:rsid w:val="007A7E73"/>
    <w:rsid w:val="007C1E80"/>
    <w:rsid w:val="007C283C"/>
    <w:rsid w:val="007C6E1D"/>
    <w:rsid w:val="007D61C1"/>
    <w:rsid w:val="007E02B8"/>
    <w:rsid w:val="007E166C"/>
    <w:rsid w:val="00802663"/>
    <w:rsid w:val="00812622"/>
    <w:rsid w:val="00824E2A"/>
    <w:rsid w:val="00825455"/>
    <w:rsid w:val="00834702"/>
    <w:rsid w:val="00841AA3"/>
    <w:rsid w:val="00850AA9"/>
    <w:rsid w:val="00853511"/>
    <w:rsid w:val="00857A62"/>
    <w:rsid w:val="008724EF"/>
    <w:rsid w:val="008738B9"/>
    <w:rsid w:val="00883F91"/>
    <w:rsid w:val="0088602C"/>
    <w:rsid w:val="008A7A8B"/>
    <w:rsid w:val="008B25BB"/>
    <w:rsid w:val="008B5525"/>
    <w:rsid w:val="008B615D"/>
    <w:rsid w:val="008B7056"/>
    <w:rsid w:val="008D1C96"/>
    <w:rsid w:val="008D4B43"/>
    <w:rsid w:val="008D4E62"/>
    <w:rsid w:val="008E22EF"/>
    <w:rsid w:val="008E4DB9"/>
    <w:rsid w:val="008F00E7"/>
    <w:rsid w:val="008F1848"/>
    <w:rsid w:val="008F28D8"/>
    <w:rsid w:val="00912979"/>
    <w:rsid w:val="00920AF9"/>
    <w:rsid w:val="00943384"/>
    <w:rsid w:val="00954731"/>
    <w:rsid w:val="00957DD6"/>
    <w:rsid w:val="00957E15"/>
    <w:rsid w:val="0096356E"/>
    <w:rsid w:val="00967D0F"/>
    <w:rsid w:val="0097483B"/>
    <w:rsid w:val="00976FEF"/>
    <w:rsid w:val="009A6F54"/>
    <w:rsid w:val="009B1566"/>
    <w:rsid w:val="009B3170"/>
    <w:rsid w:val="009D6B41"/>
    <w:rsid w:val="009E3D96"/>
    <w:rsid w:val="009E5342"/>
    <w:rsid w:val="009F0719"/>
    <w:rsid w:val="00A05050"/>
    <w:rsid w:val="00A053E9"/>
    <w:rsid w:val="00A151E2"/>
    <w:rsid w:val="00A224CB"/>
    <w:rsid w:val="00A43BD4"/>
    <w:rsid w:val="00A462D8"/>
    <w:rsid w:val="00A47E07"/>
    <w:rsid w:val="00A5519E"/>
    <w:rsid w:val="00A6779A"/>
    <w:rsid w:val="00A71D2E"/>
    <w:rsid w:val="00A85218"/>
    <w:rsid w:val="00A9210B"/>
    <w:rsid w:val="00AA07A4"/>
    <w:rsid w:val="00AA1DC2"/>
    <w:rsid w:val="00AA2B85"/>
    <w:rsid w:val="00AA736B"/>
    <w:rsid w:val="00AB6094"/>
    <w:rsid w:val="00AB6E31"/>
    <w:rsid w:val="00AC679F"/>
    <w:rsid w:val="00AD0BE0"/>
    <w:rsid w:val="00AD208B"/>
    <w:rsid w:val="00AD6B67"/>
    <w:rsid w:val="00AE1A34"/>
    <w:rsid w:val="00AE75EC"/>
    <w:rsid w:val="00AF7AD1"/>
    <w:rsid w:val="00B02F75"/>
    <w:rsid w:val="00B07AC2"/>
    <w:rsid w:val="00B16970"/>
    <w:rsid w:val="00B2207A"/>
    <w:rsid w:val="00B2717C"/>
    <w:rsid w:val="00B275C0"/>
    <w:rsid w:val="00B45FCE"/>
    <w:rsid w:val="00B546A1"/>
    <w:rsid w:val="00B92F9D"/>
    <w:rsid w:val="00BA4939"/>
    <w:rsid w:val="00BB7CBC"/>
    <w:rsid w:val="00BC30A6"/>
    <w:rsid w:val="00BD1F83"/>
    <w:rsid w:val="00BE3F84"/>
    <w:rsid w:val="00BF1114"/>
    <w:rsid w:val="00BF1526"/>
    <w:rsid w:val="00C10DF2"/>
    <w:rsid w:val="00C15424"/>
    <w:rsid w:val="00C167C0"/>
    <w:rsid w:val="00C202D7"/>
    <w:rsid w:val="00C30092"/>
    <w:rsid w:val="00C341D8"/>
    <w:rsid w:val="00C373BF"/>
    <w:rsid w:val="00C42A41"/>
    <w:rsid w:val="00C53307"/>
    <w:rsid w:val="00C53763"/>
    <w:rsid w:val="00C53CC9"/>
    <w:rsid w:val="00C65B82"/>
    <w:rsid w:val="00C71803"/>
    <w:rsid w:val="00C71C2E"/>
    <w:rsid w:val="00C7613A"/>
    <w:rsid w:val="00CC6345"/>
    <w:rsid w:val="00CD0B36"/>
    <w:rsid w:val="00CE1EA2"/>
    <w:rsid w:val="00CF4EB5"/>
    <w:rsid w:val="00CF50E8"/>
    <w:rsid w:val="00D01F78"/>
    <w:rsid w:val="00D132D9"/>
    <w:rsid w:val="00D1470F"/>
    <w:rsid w:val="00D31655"/>
    <w:rsid w:val="00D442EC"/>
    <w:rsid w:val="00D501BC"/>
    <w:rsid w:val="00D60741"/>
    <w:rsid w:val="00D64CA6"/>
    <w:rsid w:val="00D66EBF"/>
    <w:rsid w:val="00D76201"/>
    <w:rsid w:val="00D9128F"/>
    <w:rsid w:val="00D92FF9"/>
    <w:rsid w:val="00D948FC"/>
    <w:rsid w:val="00DA5A45"/>
    <w:rsid w:val="00DB4B10"/>
    <w:rsid w:val="00DB4DC5"/>
    <w:rsid w:val="00DC1B95"/>
    <w:rsid w:val="00DF022B"/>
    <w:rsid w:val="00DF3DF1"/>
    <w:rsid w:val="00DF58B9"/>
    <w:rsid w:val="00E0198B"/>
    <w:rsid w:val="00E04E4F"/>
    <w:rsid w:val="00E05C10"/>
    <w:rsid w:val="00E07B2B"/>
    <w:rsid w:val="00E07DB6"/>
    <w:rsid w:val="00E1226F"/>
    <w:rsid w:val="00E31FF4"/>
    <w:rsid w:val="00E33D04"/>
    <w:rsid w:val="00E40D74"/>
    <w:rsid w:val="00E41A2F"/>
    <w:rsid w:val="00E41D85"/>
    <w:rsid w:val="00E56ED2"/>
    <w:rsid w:val="00E61CC7"/>
    <w:rsid w:val="00E84EEE"/>
    <w:rsid w:val="00EC17D5"/>
    <w:rsid w:val="00EC4BD4"/>
    <w:rsid w:val="00EC70E6"/>
    <w:rsid w:val="00EC7C65"/>
    <w:rsid w:val="00ED036E"/>
    <w:rsid w:val="00ED2BB1"/>
    <w:rsid w:val="00ED3A6F"/>
    <w:rsid w:val="00ED4FFB"/>
    <w:rsid w:val="00EE2684"/>
    <w:rsid w:val="00EF1CD9"/>
    <w:rsid w:val="00F01067"/>
    <w:rsid w:val="00F037DF"/>
    <w:rsid w:val="00F0486E"/>
    <w:rsid w:val="00F059D0"/>
    <w:rsid w:val="00F149B1"/>
    <w:rsid w:val="00F204F2"/>
    <w:rsid w:val="00F209F9"/>
    <w:rsid w:val="00F24804"/>
    <w:rsid w:val="00F24D28"/>
    <w:rsid w:val="00F25C80"/>
    <w:rsid w:val="00F26868"/>
    <w:rsid w:val="00F31772"/>
    <w:rsid w:val="00F31C9B"/>
    <w:rsid w:val="00F32A35"/>
    <w:rsid w:val="00F457CE"/>
    <w:rsid w:val="00F50179"/>
    <w:rsid w:val="00F52E9C"/>
    <w:rsid w:val="00F5453E"/>
    <w:rsid w:val="00F62EDF"/>
    <w:rsid w:val="00F713AF"/>
    <w:rsid w:val="00F7340E"/>
    <w:rsid w:val="00F76E0A"/>
    <w:rsid w:val="00F82FDF"/>
    <w:rsid w:val="00F96FDA"/>
    <w:rsid w:val="00F97385"/>
    <w:rsid w:val="00F97789"/>
    <w:rsid w:val="00F97A55"/>
    <w:rsid w:val="00FA371C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9734-E90A-44E5-B478-19A019E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9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137</cp:revision>
  <cp:lastPrinted>2021-11-15T08:45:00Z</cp:lastPrinted>
  <dcterms:created xsi:type="dcterms:W3CDTF">2019-11-13T05:46:00Z</dcterms:created>
  <dcterms:modified xsi:type="dcterms:W3CDTF">2021-11-15T08:47:00Z</dcterms:modified>
</cp:coreProperties>
</file>